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Default="00614642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REGULAMIN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DO KONKURSU</w:t>
      </w:r>
      <w:r w:rsidR="0087489C" w:rsidRPr="008748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GRANTOWEGO </w:t>
      </w:r>
    </w:p>
    <w:p w:rsidR="0087489C" w:rsidRDefault="00FE5DA3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„Mikrogranty z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>OWES w Toruniu”</w:t>
      </w:r>
    </w:p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Pr="00F9051C" w:rsidRDefault="00614642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w ramach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projekt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„Ośrodek Wsparcia Ekonomii Społecznej w Toruniu”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współf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inansowanego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ze środków Europejskiego Funduszu Społecznego</w:t>
      </w:r>
    </w:p>
    <w:p w:rsidR="00F9051C" w:rsidRPr="00614642" w:rsidRDefault="00F9051C" w:rsidP="00F9051C">
      <w:pPr>
        <w:pStyle w:val="Normalny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 RPKP.09.04.01-04-0003/18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Regionalnego Programu Operacyjnego Województwa Kujawsko-Pomorskiego na lata 2014-2020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 Priorytetowa 9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Solidarne społeczeństwo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Działanie 9.4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Wzmocnienie sektora ekonomii społecznej</w:t>
      </w:r>
    </w:p>
    <w:p w:rsidR="00614642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Poddziałanie 9.4.1</w:t>
      </w:r>
      <w:r w:rsidR="00671C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Rozwój podmiotów sektora ekonomii społecznej </w:t>
      </w:r>
    </w:p>
    <w:p w:rsidR="00671C35" w:rsidRPr="00614642" w:rsidRDefault="00671C35" w:rsidP="00F9051C">
      <w:pPr>
        <w:pStyle w:val="Normalny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tabs>
          <w:tab w:val="right" w:pos="9071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Słowniczek</w:t>
      </w:r>
      <w:r w:rsidR="00E3537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A20914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Operator 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– Ośrodek Wsparcia Ekonomii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Toruniu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prowadzony przez  organizację pozarządową Europejskie Centrum Współpracy Młodzieży w partnerstwie ze Stowarzyszeniem Tilia, realizujące na terenie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 xml:space="preserve"> subregionu 2. (powiaty: m.Toruń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>, toruński, aleksandrowski, lipnowski, chełmiński)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konkurs w ramach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projektu Ośrodek Wsparcia Ekonomii Społecznej w Toruniu.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A2091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Projekt współfinansowany jest przez Unię Europejską w ramach Europejskiego Funduszu Społecznego (Oś priorytetowa 9. Solidarne społeczeństwo, Działania 9.4 Wzmocnienie sektora ekonomii społecznej, Poddziałania 9.4.1. Rozwój podmiotów sektora ekonomii społecznej Regionalnego Programu Operacyjnego Województwa Kujawsko-Pomorskiego na lata 2014-2020).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Mikrogranty</w:t>
      </w:r>
      <w:r w:rsidR="00FE5DA3">
        <w:rPr>
          <w:rFonts w:ascii="Times New Roman" w:hAnsi="Times New Roman" w:cs="Times New Roman"/>
          <w:b/>
          <w:color w:val="auto"/>
          <w:sz w:val="22"/>
          <w:szCs w:val="22"/>
        </w:rPr>
        <w:t>/mikrodotacje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środki na wspieranie inicjatyw organizacji pozarządowych nieprowadzących działalności ekonomicznej lub grup nieformalnych (minimum 3 osoby), chcących założyć organizację pozarządową. Środki w wysokości od 1500 zł do 5000 zł mogą być przeznaczone na pokrycie kosztów rozwoju instytucjonalnego grupy nieformalnej lub organizacji – szkolenia zespołu/kadry,  zakup sprzętu, zrealizowania działań (np. warsztatów) jako pilotażowych działań budujących doświadczenie organizacji w obszarze działalności ekonomicznej, usługi promocyjne i marketingowe i 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A60A1C" w:rsidRPr="001039DB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Projekt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zespół spójnych, zaplanowanych działań służących zwiększeniu skuteczności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usamodzielnienia się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ekonomicznego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organizacji.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Odbiorcy projektu-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są to obecni i przyszli członkowie, pracownicy, wolontariusze istniejącej lub powstającej organizacji. Mogą być pośrednio również odbiorcy działań pilotażowych, np. warsztatów.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Wnioskodawca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grupa nieformalna (min. 3 osoby)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składająca wniosek na realizację projektu.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Realizator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grupa nieformalna (min. 3 osoby) 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realizująca dofinansowany projekt – chcąca utworzyć organizację z działalnością ekonomiczną lub ekonomizować swoje działania (w przypadku organizacji już zarejestrowanej w KRS).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podmiot, który powstanie w wyniku wsparcia w formule organizacji pozarządowej lub podmiotu z art. 3 ust. 3 ustawy o działalności pożytku publicznego i o wolontariacie.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Działalność ekonomiczna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- działalność odpłatna statutowa lub działalność gospodarcza.</w:t>
      </w:r>
    </w:p>
    <w:p w:rsidR="00614642" w:rsidRDefault="00614642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5371" w:rsidRPr="00614642" w:rsidRDefault="00E35371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I. CEL PROGRAMU I ZAKRES ZADAŃ MOŻLIWYCH DO REALIZACJI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lastRenderedPageBreak/>
        <w:t xml:space="preserve">Celem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mikrograntu</w:t>
      </w: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jest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wspólna realizacja przedsięwzięć prowadzących do rozwoju ekonomii społecznej.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ramach Programu organizowany jest konkurs na małe granty (tzw. mikrogranty od 1500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do 5000 zł) wspierające grupy nieformalne w tworzeniu organizacji lub istniejące organizacje pozarządowe w ich ekonomizacji. 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W ramach mikrograntów nie jest możliwe generowanie zysków.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Proces ten ma prowadzić do zwiększenia skuteczności i usamodzielnienia się ekonomicznego organizacji.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Oprócz mikrograntów Operator przewidział dla realizatorów wsparcie doradcze, wspierające realizatorów przez okres wynikający z zobowiązań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zawartej umowy. 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Działania w ramach Mikrograntów obejmują m.in. możliwość: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20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opracowania planu działania i ścieżki rozwoju organizacji (m.in. modelu biznesowego wraz elementami planu marketingowego, fundraisingowego i promocyjnego);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b. zakupu sprzętu i wyposażenia – pod warunkiem, że  koszt j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ednostkowy nie przekracza kwoty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3500 zł –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słownie trzech tysięcy pięciuset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otych  i posłuży do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działań;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dla grup nieformalnych maksymalnie 25% wartości dotacji.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c. zakupu usług, które są niezbędne do realizacji działań wzmacniających potencjał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>i samodzielność finansową (np. usługi promocyjne, marketingowe, doradcze branżowe);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d. zakupu usług edukacyjnych, w tym szkoleń zawodowych podnoszących kwalifikacje i umiejętności członków zespołu w kontekście planowanej działalności ekonomicznej.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e. przeprowadzenia działań pilotażowych (np. warsztaty, szkolenie) budujących doświadczenie grupy/organizacji w zakresie rekrut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acji, promowania i organizacji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 związanych z działalnością ekonomiczną i zakup niezbędnych do tego materiałów.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II. PODMIOTY UPRAWNIONE 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4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konkursie mogą wziąć udział </w:t>
      </w:r>
    </w:p>
    <w:p w:rsidR="00614642" w:rsidRPr="00614642" w:rsidRDefault="00671C35" w:rsidP="00614642">
      <w:pPr>
        <w:pStyle w:val="Normalny1"/>
        <w:widowControl w:val="0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rupy nieformalne chcące założyć organizację pozarządową z działalnością ekonomiczną (odpłatną statutową lub gospodarczą)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czyli grupy składające się z nie mniej niż 3 (trzech) osób pełnoletnich, wspólnie realizujące lub chcące realizo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wać na terenie subregionu 2.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działania w sferze pożytku publicznego, a nie posiadające osobowości prawnej, które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w okresie realizacji projektu złożą wniosek do KRS o rejestrację podmiotu. Działalność ekonomiczna podmiotu będzie mogła rozpocząć się dopiero po zakończeniu realizacji projektu.</w:t>
      </w:r>
      <w:r w:rsidR="004E3CC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Złożenie dokumentów do KRS możliwe jest dopiero po poniesieniu wszystkich wydatków zaplanowanych w budżecie, nie wcześniej jednak niż na miesiąc przed zakończeniem realizacji projektu.</w:t>
      </w:r>
    </w:p>
    <w:p w:rsidR="00614642" w:rsidRPr="00830974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Organizacje pozarządowe bez działalności ekonomicznej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zarejestrowan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e na terenie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które w trakcie realizacji projektu uruchomią działalność ekonomiczną (poświadczając to złożeniem uchwały o podjęciu działalności ekonomicznej lub 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łożeniem dokumentów rejestracyjnych do Rejestru Przedsiębiorców</w:t>
      </w:r>
      <w:r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830974"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. Złożenie dokumentów do KRS możliwe jest dopiero po poniesieniu wszystkich wydatków zaplanowanych w budżecie.</w:t>
      </w:r>
    </w:p>
    <w:p w:rsidR="00614642" w:rsidRPr="00614642" w:rsidRDefault="00614642" w:rsidP="00614642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 konkursie mogą wziąć udział tylko te organizacje które mają siedzibę i planują prow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adzić działania w subregionie 2.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oraz grupy nieformalne, których członkowie realizują lub chcą realizować działania na terenie tego subregionu.</w:t>
      </w:r>
    </w:p>
    <w:p w:rsidR="004C2DD5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hAnsi="Times New Roman" w:cs="Times New Roman"/>
          <w:color w:val="auto"/>
          <w:sz w:val="22"/>
          <w:szCs w:val="22"/>
        </w:rPr>
        <w:t>Z ubiegania się o mikrogrant wyłączeni są członkowie rodzin oraz pracownicy Operatora programu grantowego (tj. osoby, które są lub były zatrudnione w okresie ostatnich 24 miesięcy na podstawie umowy o p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racę lub umowy cywilno-prawnej</w:t>
      </w:r>
      <w:r w:rsidR="00C200B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14642" w:rsidRPr="000778CE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Jeden podmiot może otrzymać maksymalnie 2 mikrogranty od Operatora w trakc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ie trwania projektu „OWES </w:t>
      </w:r>
      <w:r w:rsidR="00A60A1C">
        <w:rPr>
          <w:rFonts w:ascii="Times New Roman" w:eastAsia="Times New Roman" w:hAnsi="Times New Roman" w:cs="Times New Roman"/>
          <w:color w:val="auto"/>
          <w:sz w:val="22"/>
          <w:szCs w:val="22"/>
        </w:rPr>
        <w:t>w  Toruniu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”, przy czym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podczas jednego naboru można wnioskować tylko o jeden mikrogrant.</w:t>
      </w:r>
    </w:p>
    <w:p w:rsidR="00614642" w:rsidRPr="00614642" w:rsidRDefault="00614642" w:rsidP="00614642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III. KRYTERIA WYBORU OFERT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Procedura wyboru ofert obejmuje dwa etapy: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formalną,</w:t>
      </w:r>
    </w:p>
    <w:p w:rsid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merytoryczną.</w:t>
      </w:r>
    </w:p>
    <w:p w:rsidR="001039DB" w:rsidRPr="00614642" w:rsidRDefault="001039DB" w:rsidP="001039DB">
      <w:pPr>
        <w:pStyle w:val="Normalny1"/>
        <w:widowControl w:val="0"/>
        <w:spacing w:line="276" w:lineRule="auto"/>
        <w:ind w:left="1134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right="5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Ocena formalna dokonywana będzie w oparciu o następujące kryteria: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został złożony w terminie?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- Czy wniosek został złożony na właściwym formularzu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wypełniony komputerowo?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jest kompletny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projekt jest złożony przez grupę uprawnioną do udziału w konkursie?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 wnioskodawca działa na obszarze objętym konkursem?</w:t>
      </w:r>
    </w:p>
    <w:p w:rsidR="00614642" w:rsidRPr="00614642" w:rsidRDefault="00942515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Czy okres realizacji projektu nie przekracza maksymalnego czasu określonego w Regulaminie 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kwota wnioskowanego wsparcia wynosi minimum 1 500 zł a maksimum 5 000 zł?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Na etapie oceny formalnej Operator może wezwać Wnioskodawcę do uzupełnienia braków (podpisy, puste pola we wniosku</w:t>
      </w:r>
      <w:r w:rsidR="00696E08">
        <w:rPr>
          <w:rFonts w:ascii="Times New Roman" w:hAnsi="Times New Roman" w:cs="Times New Roman"/>
          <w:b/>
          <w:color w:val="auto"/>
          <w:sz w:val="22"/>
          <w:szCs w:val="22"/>
        </w:rPr>
        <w:t>, dosłanie statutu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). Uzupełnienie braków powinno nastąpić w ciągu maksymalnie 5 dni roboczych</w:t>
      </w:r>
      <w:r w:rsidR="00696E0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od wezwania przez Realizatora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Wnioski, które spełnią wszystkie wymagania formalne określone w pkt III 2. zostaną przekazane do oceny merytorycznej ekspertów. Operator wybierze te projekty, które w najwyższym stopniu spełnią następujące kryteria merytoryczne:</w:t>
      </w: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wniosku: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ogólna (max. 2 punktów)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cele i działania projektu zgodne są z celami Programu opisanymi w punkcie I.1? 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zaproponowane  w projekcie działania służą wzmocnieniu potencjału i budowaniu samodzielności finansowej?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Odbiorcy projektu (max. 2 punktów)</w:t>
      </w:r>
    </w:p>
    <w:p w:rsidR="00614642" w:rsidRPr="00614642" w:rsidRDefault="00614642" w:rsidP="00614642">
      <w:pPr>
        <w:pStyle w:val="Normalny1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odbiorców projektu? 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Potrzeby realizacji projektu (max.  6 punktów)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wskazane zostały potrzeby/przyczyny, dla których powstaje organizacja lub działa organizacja?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pomysł na powstanie i działanie organizacji lub opisano prowadzoną już działalność statutową? 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pomysł na działalność ekonomiczną organizacji?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Cele projektu (max. 2 pkt.)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wskazany został cel główny?   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cel powiązany jest ze wskazanymi potrzebami i służy wzmocnieniu potencjału i rozwojowi organizacji?</w:t>
      </w: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Działania projektowe (max. 10 pkt)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planowane działania służą osiągnięciu zakładanych celów?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zaplanowane działania mają szanse być zrealizowane w przewidywanym czasie?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jakim stopniu zaplanowane działania są dostosowane do wskazanych potrzeb organizacji? 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jakim stopniu zaplanowane działania pozwolą na wzmocnienie skuteczności i potencjału organizacji, w tym jej samodzielności ekonomicznej?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i w jakim stopniu projekt angażuje członków społeczności lokalnej (partnerów, potencjalnych klientów)? 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Budżet projektu (max. 8)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powiązane z planowanymi działaniami?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kwalifikowane?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racjonalne tzn. niezbędne i wystarczające do zrealizowania zaplanowanych działań i osiągnięcia rezultatów?  </w:t>
      </w:r>
    </w:p>
    <w:p w:rsidR="00614642" w:rsidRPr="00473F19" w:rsidRDefault="00727622" w:rsidP="00473F19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3F19">
        <w:rPr>
          <w:rFonts w:ascii="Times New Roman" w:hAnsi="Times New Roman" w:cs="Times New Roman"/>
          <w:color w:val="auto"/>
          <w:sz w:val="22"/>
          <w:szCs w:val="22"/>
        </w:rPr>
        <w:t>Oceniający może przyznać 0 pkt za budżet, mimo prawidłowości jego wypełnienia, jeśli w jego ocenie nie ma realnego potencjału na ekonomizację działań</w:t>
      </w:r>
      <w:r w:rsidR="00473F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Rezultaty projektu (max. 5 pkt)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rezultaty zostały określone liczbowo?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zakładane rezultaty są adekwatnie do opisanych celów i działań?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Jak zakładane rezultaty przyczynią się do rozwoju danej organizacji i stabilności jej ekonomicznego działania?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jak będ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zie kontynuowana działalność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wskazano 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źródła dalszego finansowania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E77AFF" w:rsidRPr="00614642" w:rsidRDefault="00E77AFF" w:rsidP="00A32E08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Punkty dodatkowe, gdy grupa/organizacja zadeklaruje (oświadczenie we wniosku), że zamierza założyć przed</w:t>
      </w:r>
      <w:r w:rsidR="00C00504">
        <w:rPr>
          <w:rFonts w:ascii="Times New Roman" w:hAnsi="Times New Roman" w:cs="Times New Roman"/>
          <w:b/>
          <w:color w:val="auto"/>
          <w:sz w:val="22"/>
          <w:szCs w:val="22"/>
        </w:rPr>
        <w:t>siębiorstwo społeczne  (+10pkt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Wszystkie oferty będą ocen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iane przez Komisję Oceny </w:t>
      </w:r>
      <w:r w:rsidR="00A60A1C" w:rsidRPr="00F4127A">
        <w:rPr>
          <w:rFonts w:ascii="Times New Roman" w:hAnsi="Times New Roman" w:cs="Times New Roman"/>
          <w:color w:val="auto"/>
          <w:sz w:val="22"/>
          <w:szCs w:val="22"/>
        </w:rPr>
        <w:t>Mikrograntów</w:t>
      </w:r>
      <w:r w:rsidRPr="00F4127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yłonioną przez Operatora. Każda z ofert jest oceniana przez 2 ekspertów, a o wyniku decyduje średnia punktów przyznanych przez ekspertów. 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w ocenie merytorycznej to </w:t>
      </w:r>
      <w:r w:rsidR="00510409">
        <w:rPr>
          <w:rFonts w:ascii="Times New Roman" w:hAnsi="Times New Roman" w:cs="Times New Roman"/>
          <w:b/>
          <w:color w:val="auto"/>
          <w:sz w:val="22"/>
          <w:szCs w:val="22"/>
        </w:rPr>
        <w:t>45, na co składa się 35 punktów podstawowych i 10 punktów dodatkowych.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Aby uzyskać pozytywną ocenę i kwalifikować się do dofinansowania, wniosek musi uzyskać średnią ocenę minimum 60 % z dwóch ocen ekspertów</w:t>
      </w:r>
      <w:r w:rsidR="00431DD5">
        <w:rPr>
          <w:rFonts w:ascii="Times New Roman" w:hAnsi="Times New Roman" w:cs="Times New Roman"/>
          <w:b/>
          <w:color w:val="auto"/>
          <w:sz w:val="22"/>
          <w:szCs w:val="22"/>
        </w:rPr>
        <w:t>( licząc od punktów podstawowych czyli 35 pkt)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Ponadto od każdego eksperta należy uzyskać minimum 60 %. 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 dofinansowani</w:t>
      </w:r>
      <w:r w:rsidR="005314D4">
        <w:rPr>
          <w:rFonts w:ascii="Times New Roman" w:hAnsi="Times New Roman" w:cs="Times New Roman"/>
          <w:color w:val="auto"/>
          <w:sz w:val="22"/>
          <w:szCs w:val="22"/>
        </w:rPr>
        <w:t xml:space="preserve">a kwalifikuje się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431DD5">
        <w:rPr>
          <w:rFonts w:ascii="Times New Roman" w:hAnsi="Times New Roman" w:cs="Times New Roman"/>
          <w:color w:val="auto"/>
          <w:sz w:val="22"/>
          <w:szCs w:val="22"/>
        </w:rPr>
        <w:t>jwyżej ocenione projekty w ramach puli środków przeznaczonych na konkurs.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Ocena ekspertów jest ostateczna i nie przysługuje od niej odwołanie. </w:t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IV. WYSOKOŚĆ WNIOSKOWANEGO WSPARCIA</w:t>
      </w:r>
    </w:p>
    <w:p w:rsidR="00A60385" w:rsidRPr="00A60385" w:rsidRDefault="00614642" w:rsidP="00614642">
      <w:pPr>
        <w:pStyle w:val="Normalny1"/>
        <w:widowControl w:val="0"/>
        <w:numPr>
          <w:ilvl w:val="2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Kwota mikrograntu może wynieść od 1500 zł do 5000 zł. </w:t>
      </w:r>
    </w:p>
    <w:p w:rsidR="00A60385" w:rsidRDefault="00A60385" w:rsidP="00A60385">
      <w:pPr>
        <w:pStyle w:val="Normalny1"/>
        <w:widowControl w:val="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kwocie brutto jeżeli towary i/lub usługi sfinansowane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mikrograntu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nie będą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wy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korzystywane do prowadzenia dzia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ł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lności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opodatkowanej podczas jego realizacji lub po zakończeniu.</w:t>
      </w:r>
    </w:p>
    <w:p w:rsidR="00A60385" w:rsidRPr="00A60385" w:rsidRDefault="00A60385" w:rsidP="00A60385">
      <w:pPr>
        <w:pStyle w:val="Akapitzlist"/>
        <w:numPr>
          <w:ilvl w:val="0"/>
          <w:numId w:val="25"/>
        </w:num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 kwocie netto, </w:t>
      </w:r>
      <w:r w:rsidRPr="00A60385">
        <w:rPr>
          <w:rFonts w:ascii="Times New Roman" w:hAnsi="Times New Roman"/>
          <w:b/>
          <w:lang w:eastAsia="pl-PL"/>
        </w:rPr>
        <w:t>jeżeli towary i/lub us</w:t>
      </w:r>
      <w:r>
        <w:rPr>
          <w:rFonts w:ascii="Times New Roman" w:hAnsi="Times New Roman"/>
          <w:b/>
          <w:lang w:eastAsia="pl-PL"/>
        </w:rPr>
        <w:t xml:space="preserve">ługi sfinansowane z mikrograntu </w:t>
      </w:r>
      <w:r w:rsidRPr="00A60385">
        <w:rPr>
          <w:rFonts w:ascii="Times New Roman" w:hAnsi="Times New Roman"/>
          <w:b/>
          <w:lang w:eastAsia="pl-PL"/>
        </w:rPr>
        <w:t xml:space="preserve"> będą wykorzystywane do prowadzenia dział</w:t>
      </w:r>
      <w:r>
        <w:rPr>
          <w:rFonts w:ascii="Times New Roman" w:hAnsi="Times New Roman"/>
          <w:b/>
          <w:lang w:eastAsia="pl-PL"/>
        </w:rPr>
        <w:t>a</w:t>
      </w:r>
      <w:r w:rsidRPr="00A60385">
        <w:rPr>
          <w:rFonts w:ascii="Times New Roman" w:hAnsi="Times New Roman"/>
          <w:b/>
          <w:lang w:eastAsia="pl-PL"/>
        </w:rPr>
        <w:t>lności opodatkowanej podczas jeg</w:t>
      </w:r>
      <w:r>
        <w:rPr>
          <w:rFonts w:ascii="Times New Roman" w:hAnsi="Times New Roman"/>
          <w:b/>
          <w:lang w:eastAsia="pl-PL"/>
        </w:rPr>
        <w:t>o realizacji lub po zakończeniu.</w:t>
      </w:r>
    </w:p>
    <w:p w:rsidR="00614642" w:rsidRPr="00614642" w:rsidRDefault="00614642" w:rsidP="00A60385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V. KOSZTY KWALIFIKOWALNE I NIEKWALIFIKOWALNE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BF7FA4" w:rsidRDefault="00614642" w:rsidP="00B82026">
      <w:pPr>
        <w:pStyle w:val="Normalny1"/>
        <w:widowControl w:val="0"/>
        <w:numPr>
          <w:ilvl w:val="2"/>
          <w:numId w:val="12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7FA4">
        <w:rPr>
          <w:rFonts w:ascii="Times New Roman" w:hAnsi="Times New Roman" w:cs="Times New Roman"/>
          <w:color w:val="auto"/>
          <w:sz w:val="22"/>
          <w:szCs w:val="22"/>
        </w:rPr>
        <w:t>Niedopuszczalne jest dokonywanie przez przedstawicieli grup nieformalnych płatności za zakupy i usługi prywatnymi środkami i jednoczesne pobieranie związanych z nimi dokumentów księgowych wystawianych na Operatora. Operator realizuje tylko płatności przelewowe, poza szczególnymi przypadkami, zgłaszanymi Operatorowi przed dokonaniem zakupów.</w:t>
      </w:r>
      <w:r w:rsidR="00B82026" w:rsidRPr="00B82026">
        <w:t xml:space="preserve"> </w:t>
      </w:r>
      <w:r w:rsidR="00B82026" w:rsidRPr="00B82026">
        <w:rPr>
          <w:rFonts w:ascii="Times New Roman" w:hAnsi="Times New Roman" w:cs="Times New Roman"/>
          <w:color w:val="auto"/>
          <w:sz w:val="22"/>
          <w:szCs w:val="22"/>
        </w:rPr>
        <w:t>W przypadku gdy wnioskodawcą jest istniejąca organizacja pozarządowa faktury są wystawiane na dane organizacji realizującej mikrogrant i opłacane przez organizację z uzyskanych na ten</w:t>
      </w:r>
      <w:r w:rsidR="00B82026">
        <w:rPr>
          <w:rFonts w:ascii="Times New Roman" w:hAnsi="Times New Roman" w:cs="Times New Roman"/>
          <w:color w:val="auto"/>
          <w:sz w:val="22"/>
          <w:szCs w:val="22"/>
        </w:rPr>
        <w:t xml:space="preserve"> cel srodków.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Operator dokonuje płatności dwa razy w miesiącu. Faktury (z minimum 14-dniowym terminem płatności) należy dostarczać do Operatora do 15 i do 30 dnia każdego miesiąca. W ostatnim miesiącu realizacji projektu dokumenty księgowe muszą zostać złożone w biurze Operatora na 14 dni przed zakończeniem projektu.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Mikrogrant musi być wykorzystany w okresie realizacji projektu. Nie ma możliwości ponoszenia wydatków z grantu przed datą rozpoczęcia lub po zakończeniu projektu –</w:t>
      </w:r>
      <w:r w:rsidR="00A42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dotyczy to także należności publicznoprawnych, w tym podatków i składek ZUS (wszystkie płatności muszą być dokonane w okresie realizacji projektu).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Wydatki poniesione w ramach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 są uznane za kwalifikowalne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jeśli są: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niezbędne dla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racjonalne i efektywne,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zostały faktycznie poniesione w okresie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udokumentowane w formie dokumentów księgowych wystawionych na Operatora,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przewidziane w budżecie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zgodne z odrębnymi przepisami prawa powszechnie obowiązującego.</w:t>
      </w:r>
    </w:p>
    <w:p w:rsidR="00614642" w:rsidRPr="00614642" w:rsidRDefault="00614642" w:rsidP="00614642">
      <w:pPr>
        <w:pStyle w:val="Normalny1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Do wydatków, które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nie mogą być finansowane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ramach konkursu, należą wydatki nieodnoszące się jednoznacznie do projektu, a także w szczególności: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podatek od towarów i usług (VAT), jeśli może zostać odliczony w oparciu o ustawę z dnia 11 marca 2004 r. o podatku od towarów i usług (Dz. U. z 2011 r. Nr 177, poz. 1054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nieruchomości gruntowej, lokalowej, budowlanej;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amortyzacja;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leasing;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rezerwy na pokrycie przyszłych strat lub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odsetki z tytułu niezapłaconych w terminie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kar i grzywien;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procesów sądowych;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nagrody, premie i inne formy bonifikaty rzeczowej lub finansowej dla osób zajmujących się realizacją zadania; </w:t>
      </w:r>
    </w:p>
    <w:p w:rsid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obsługi konta bankowego (nie dotyczy kosztów przelewów); </w:t>
      </w:r>
    </w:p>
    <w:p w:rsidR="00B3373C" w:rsidRDefault="00B3373C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zakup napojów alkoholowych oraz jakichkolwiek przedmiotów z nim związanych   (jest to niezgodne z art. 4 ust. 1 pkt 32 UoDPPioW oraz art. 1 ust. 1 ustawy z dnia 26 października 1982 r. o wychowaniu w trzeźwości i przeciwdziałaniu alkoholizmowi);</w:t>
      </w:r>
    </w:p>
    <w:p w:rsidR="00B3373C" w:rsidRPr="00B3373C" w:rsidRDefault="00B3373C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zakup środków psychoaktywnych i innych środków wskazanych w ustawie z dnia 29 lipca 2005 r. o przeciwdziałaniu narkomanii.</w:t>
      </w:r>
    </w:p>
    <w:p w:rsidR="00614642" w:rsidRDefault="00614642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 xml:space="preserve">podatki i opłaty z wyłączeniem podatku dochodowego od osób fizycznych, składek na ubezpieczenie społeczne i zdrowotne, składek na Fundusz Pracy oraz Fundusz Gwarantowanych Świadczeń Pracowniczych, a także opłat za zaświadczenie o niekaralności oraz opłaty za zajęcie pasa drogowego); </w:t>
      </w:r>
    </w:p>
    <w:p w:rsidR="00614642" w:rsidRPr="00B3373C" w:rsidRDefault="00614642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koszty wyjazdów służbowych osób zaangażowanych w realizację projektu na podstawie umowy cywilnoprawne</w:t>
      </w:r>
      <w:r w:rsidR="00D168A2" w:rsidRPr="00B3373C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B3373C">
        <w:rPr>
          <w:rFonts w:ascii="Times New Roman" w:hAnsi="Times New Roman" w:cs="Times New Roman"/>
          <w:color w:val="auto"/>
          <w:sz w:val="22"/>
          <w:szCs w:val="22"/>
        </w:rPr>
        <w:t>, chyba, że umowa przewiduje zwrot kosztów podróży.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Niekwalifikowalne są także: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tworzeniem kapitału żelaznego organizacji,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religijnych oraz uprawiania kultu religijnego,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politycznych,</w:t>
      </w:r>
    </w:p>
    <w:p w:rsid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finansowanie nagród pieniężnych w ramach realizacji przedsięwzięć.</w:t>
      </w:r>
    </w:p>
    <w:p w:rsidR="00391506" w:rsidRPr="00391506" w:rsidRDefault="00391506" w:rsidP="00391506">
      <w:pPr>
        <w:pStyle w:val="Normalny1"/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C17E36" w:rsidRDefault="00391506" w:rsidP="00391506">
      <w:pPr>
        <w:pStyle w:val="Normalny1"/>
        <w:numPr>
          <w:ilvl w:val="2"/>
          <w:numId w:val="12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506">
        <w:rPr>
          <w:rFonts w:ascii="Times New Roman" w:hAnsi="Times New Roman" w:cs="Times New Roman"/>
          <w:sz w:val="22"/>
          <w:szCs w:val="22"/>
        </w:rPr>
        <w:t xml:space="preserve">Odbiorcy projektu ze środków z dotacji nie wolno nabywać towarów ani usług od podmiotów, z którymi wspólnicy, udziałowcy, akcjonariusze, członkowie, pełnomocnicy, członkowie </w:t>
      </w:r>
      <w:r w:rsidRPr="00391506">
        <w:rPr>
          <w:rFonts w:ascii="Times New Roman" w:hAnsi="Times New Roman" w:cs="Times New Roman"/>
          <w:sz w:val="22"/>
          <w:szCs w:val="22"/>
        </w:rPr>
        <w:lastRenderedPageBreak/>
        <w:t>organu zarządzającego lub wewnętrznego organu kontroli/nadzoru posiadają powiązania osobowe lub kapitałowe, polegające w szczególności na:</w:t>
      </w:r>
    </w:p>
    <w:p w:rsidR="00C17E36" w:rsidRPr="00391506" w:rsidRDefault="00C17E36" w:rsidP="00C17E36">
      <w:pPr>
        <w:pStyle w:val="Normalny1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391506" w:rsidRDefault="00391506" w:rsidP="00391506">
      <w:pPr>
        <w:pStyle w:val="Normalny1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09"/>
        <w:contextualSpacing/>
        <w:jc w:val="both"/>
        <w:rPr>
          <w:rFonts w:cs="Times New Roman"/>
        </w:rPr>
      </w:pPr>
      <w:r>
        <w:rPr>
          <w:rFonts w:cs="Times New Roman"/>
        </w:rPr>
        <w:t>1.</w:t>
      </w:r>
      <w:r w:rsidRPr="00391506">
        <w:rPr>
          <w:rFonts w:cs="Times New Roman"/>
        </w:rPr>
        <w:t>Uczestniczeniu w spółce, jako wspólnik spółki cywilnej lub spółki osobowej;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2.</w:t>
      </w:r>
      <w:r w:rsidRPr="00391506">
        <w:rPr>
          <w:rFonts w:cs="Times New Roman"/>
        </w:rPr>
        <w:t>Posiadaniu, co najmniej 10% udziałów lub akcji;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3.</w:t>
      </w:r>
      <w:r w:rsidRPr="00391506">
        <w:rPr>
          <w:rFonts w:cs="Times New Roman"/>
        </w:rPr>
        <w:t>Pełnieniu funkcji członka organu nadzorczego lub zarządzającego, prokurenta, pełnomocnika;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4.</w:t>
      </w:r>
      <w:r w:rsidRPr="00391506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kurateli, a działalność, na którą otrzymuje środki, nie była prowadzona w</w:t>
      </w:r>
      <w:r>
        <w:rPr>
          <w:rFonts w:cs="Times New Roman"/>
        </w:rPr>
        <w:t xml:space="preserve">cześniej przez członka rodziny, </w:t>
      </w:r>
      <w:r w:rsidRPr="00391506">
        <w:rPr>
          <w:rFonts w:cs="Times New Roman"/>
        </w:rPr>
        <w:t>z wykorzystaniem zasobów materialnych (pomieszczenia, sprzęt itp.) stanowiących zaplecze dla tej działalności;</w:t>
      </w:r>
    </w:p>
    <w:p w:rsid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 w:rsidRPr="00391506">
        <w:rPr>
          <w:rFonts w:cs="Times New Roman"/>
        </w:rPr>
        <w:t>Pozostawania w takim stosunku prawnym lub faktycznym, który budzić może uzasadnione wątpliwości, co do powiązań pośrednich lub bezpośrednich.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VI. OGŁOSZENIE KONKURSU, ZŁOŻENIE OFERTY I OGŁOSZENIE WYNIKÓW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Ogłoszenie o naborze </w:t>
      </w:r>
      <w:r w:rsidR="00183AA6">
        <w:rPr>
          <w:rFonts w:ascii="Times New Roman" w:hAnsi="Times New Roman" w:cs="Times New Roman"/>
          <w:color w:val="auto"/>
          <w:sz w:val="22"/>
          <w:szCs w:val="22"/>
        </w:rPr>
        <w:t xml:space="preserve">wniosków </w:t>
      </w:r>
      <w:r w:rsidR="00DC0DAC">
        <w:rPr>
          <w:rFonts w:ascii="Times New Roman" w:hAnsi="Times New Roman" w:cs="Times New Roman"/>
          <w:color w:val="auto"/>
          <w:sz w:val="22"/>
          <w:szCs w:val="22"/>
        </w:rPr>
        <w:t>do konkursu grantowego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jest publikowane na stronie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 xml:space="preserve"> projektu Operatora – OWES Toruń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 składane są na formularzach udo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>stępnionych na stronie OWES Toruń.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Wnioski składane po terminie określonym w ogłoszeniu o konkursie pozostają bez rozpatrzenia.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Do konkursu można złożyć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maksymalnie 1 wniosek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D54D9" w:rsidRDefault="0061464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Ogłoszenie wyników następuje poprzez opublikowanie listy rankingowej n</w:t>
      </w:r>
      <w:r w:rsidR="00DA1EB4">
        <w:rPr>
          <w:rFonts w:ascii="Times New Roman" w:hAnsi="Times New Roman" w:cs="Times New Roman"/>
          <w:color w:val="auto"/>
          <w:sz w:val="22"/>
          <w:szCs w:val="22"/>
        </w:rPr>
        <w:t xml:space="preserve">a stronie  Operatora </w:t>
      </w:r>
      <w:r w:rsidR="00ED54D9" w:rsidRPr="00ED54D9">
        <w:t xml:space="preserve"> </w:t>
      </w:r>
      <w:hyperlink r:id="rId7" w:history="1">
        <w:r w:rsidR="00ED54D9" w:rsidRPr="00AD04F7">
          <w:rPr>
            <w:rStyle w:val="Hipercze"/>
            <w:rFonts w:ascii="Times New Roman" w:hAnsi="Times New Roman" w:cs="Times New Roman"/>
            <w:sz w:val="22"/>
            <w:szCs w:val="22"/>
          </w:rPr>
          <w:t>http://ekonomia-spoleczna.com.pl/</w:t>
        </w:r>
      </w:hyperlink>
    </w:p>
    <w:p w:rsidR="00614642" w:rsidRPr="00614642" w:rsidRDefault="00D168A2" w:rsidP="00C978B9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Lista zostanie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opublikowana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ciągu 30 dni od zakończenia naboru.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 ogłoszeniu wyników konkursu Operator kontaktuje się z Wnioskodawcami w celu potwierdzenia woli realizacji projektu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sposób </w:t>
      </w:r>
      <w:r w:rsidR="00362D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telefoniczny lub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pisemny</w:t>
      </w:r>
      <w:r w:rsidR="00362D68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tym za pomocą poczty elektronicznej.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W przypadku rezygnacji jednego z nich, mikrogrant otrzymuje kolejny z listy rankingowej.</w:t>
      </w:r>
    </w:p>
    <w:p w:rsidR="00614642" w:rsidRPr="00614642" w:rsidRDefault="00183AA6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Wnioskodawca: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przypadku grupy nieformalnej - realizując</w:t>
      </w:r>
      <w:r w:rsidR="0046564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projekt nie otrzymuje środków na konto bankowe. Jest zobowiązany do terminowego przedstawiania faktur i dokumentów potwierdzających wydatkowanie środków w celu ich skutecznego uregulowania przez Operatora. 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przypadku organizacji pozarządowej - realizując projekt otrzymuje środki na ogólne konto bankowe organizacji w ciągu 14 dni od podpisania umowy.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Szczegółowy sposób przekazywania i rozliczania mikrograntu będzie regulowała umowa o przyznanie mikrograntu.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 xml:space="preserve">Wnioskodawcy </w:t>
      </w:r>
      <w:r w:rsidR="004A034B">
        <w:rPr>
          <w:color w:val="auto"/>
          <w:sz w:val="22"/>
          <w:szCs w:val="22"/>
        </w:rPr>
        <w:t>składają wniosek oraz budżet w 2 egzemplarzach</w:t>
      </w:r>
      <w:r w:rsidRPr="00614642">
        <w:rPr>
          <w:color w:val="auto"/>
          <w:sz w:val="22"/>
          <w:szCs w:val="22"/>
        </w:rPr>
        <w:t xml:space="preserve"> (w miarę możliwości druk dwustronny) w kopercie niebąbelkowej, dokumenty spięte w skoroszycie</w:t>
      </w:r>
      <w:r w:rsidR="00BA0EF6">
        <w:rPr>
          <w:color w:val="auto"/>
          <w:sz w:val="22"/>
          <w:szCs w:val="22"/>
        </w:rPr>
        <w:t>.</w:t>
      </w:r>
      <w:r w:rsidRPr="00614642">
        <w:rPr>
          <w:color w:val="auto"/>
          <w:sz w:val="22"/>
          <w:szCs w:val="22"/>
        </w:rPr>
        <w:t xml:space="preserve"> </w:t>
      </w:r>
    </w:p>
    <w:p w:rsidR="00614642" w:rsidRPr="005E511A" w:rsidRDefault="00614642" w:rsidP="005E511A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lang w:eastAsia="pl-PL"/>
        </w:rPr>
      </w:pPr>
      <w:r w:rsidRPr="005E511A">
        <w:rPr>
          <w:rFonts w:ascii="Times New Roman" w:hAnsi="Times New Roman"/>
        </w:rPr>
        <w:lastRenderedPageBreak/>
        <w:t>Wymagane dokume</w:t>
      </w:r>
      <w:r w:rsidR="00221705" w:rsidRPr="005E511A">
        <w:rPr>
          <w:rFonts w:ascii="Times New Roman" w:hAnsi="Times New Roman"/>
        </w:rPr>
        <w:t>n</w:t>
      </w:r>
      <w:r w:rsidR="005E77C2" w:rsidRPr="005E511A">
        <w:rPr>
          <w:rFonts w:ascii="Times New Roman" w:hAnsi="Times New Roman"/>
        </w:rPr>
        <w:t xml:space="preserve">ty należy złożyć w biurze OWES w godzinach pracy biura, tj. pon.-piątek 8-16. lub </w:t>
      </w:r>
      <w:r w:rsidR="00221705" w:rsidRPr="005E511A">
        <w:rPr>
          <w:rFonts w:ascii="Times New Roman" w:hAnsi="Times New Roman"/>
        </w:rPr>
        <w:t>drogą mailową</w:t>
      </w:r>
      <w:r w:rsidR="005E511A" w:rsidRPr="005E511A">
        <w:rPr>
          <w:rFonts w:ascii="Times New Roman" w:hAnsi="Times New Roman"/>
        </w:rPr>
        <w:t>, tradycyjną pocztą,</w:t>
      </w:r>
      <w:r w:rsidR="00221705" w:rsidRPr="005E511A">
        <w:rPr>
          <w:rFonts w:ascii="Times New Roman" w:hAnsi="Times New Roman"/>
        </w:rPr>
        <w:t xml:space="preserve"> </w:t>
      </w:r>
      <w:r w:rsidR="00A350FA" w:rsidRPr="005E511A">
        <w:rPr>
          <w:rFonts w:ascii="Times New Roman" w:hAnsi="Times New Roman"/>
        </w:rPr>
        <w:t>do dnia podanego w aktualnym ogłoszeniu konkursowym z</w:t>
      </w:r>
      <w:r w:rsidR="00D168A2" w:rsidRPr="005E511A">
        <w:rPr>
          <w:rFonts w:ascii="Times New Roman" w:hAnsi="Times New Roman"/>
        </w:rPr>
        <w:t>a</w:t>
      </w:r>
      <w:r w:rsidR="00A350FA" w:rsidRPr="005E511A">
        <w:rPr>
          <w:rFonts w:ascii="Times New Roman" w:hAnsi="Times New Roman"/>
        </w:rPr>
        <w:t>miesz</w:t>
      </w:r>
      <w:r w:rsidR="005E511A" w:rsidRPr="005E511A">
        <w:rPr>
          <w:rFonts w:ascii="Times New Roman" w:hAnsi="Times New Roman"/>
        </w:rPr>
        <w:t xml:space="preserve">czonym na stronie operatora </w:t>
      </w:r>
      <w:r w:rsidR="005E511A" w:rsidRPr="005E511A">
        <w:rPr>
          <w:rFonts w:ascii="Times New Roman" w:eastAsia="Times New Roman" w:hAnsi="Times New Roman"/>
          <w:lang w:eastAsia="pl-PL"/>
        </w:rPr>
        <w:t>(decyduje data stempla pocztowego).</w:t>
      </w:r>
    </w:p>
    <w:p w:rsidR="005E77C2" w:rsidRPr="005E77C2" w:rsidRDefault="005E77C2" w:rsidP="005E77C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do składania osobistego bądź wysyłki pocztowej: Wola Zamkowa 12a , 87-100 Toruń.</w:t>
      </w:r>
    </w:p>
    <w:p w:rsidR="00221705" w:rsidRPr="00221705" w:rsidRDefault="00614642" w:rsidP="00221705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color w:val="auto"/>
          <w:sz w:val="22"/>
          <w:szCs w:val="22"/>
        </w:rPr>
        <w:t xml:space="preserve"> Adres do składania </w:t>
      </w:r>
      <w:r w:rsidR="00221705">
        <w:rPr>
          <w:color w:val="auto"/>
          <w:sz w:val="22"/>
          <w:szCs w:val="22"/>
        </w:rPr>
        <w:t xml:space="preserve">drogą mailową: </w:t>
      </w:r>
      <w:r w:rsidR="00221705" w:rsidRPr="00221705">
        <w:rPr>
          <w:color w:val="auto"/>
          <w:sz w:val="22"/>
          <w:szCs w:val="22"/>
        </w:rPr>
        <w:t>owes@ekonomia-spoleczna.com.pl</w:t>
      </w:r>
    </w:p>
    <w:p w:rsidR="00614642" w:rsidRPr="00A25956" w:rsidRDefault="00614642" w:rsidP="00067CD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bCs/>
          <w:color w:val="auto"/>
          <w:sz w:val="22"/>
          <w:szCs w:val="22"/>
        </w:rPr>
        <w:t xml:space="preserve">Wnioskodawca po podpisaniu umowy o dofinansowanie zobowiązuje się do złożenia </w:t>
      </w:r>
      <w:r w:rsidRPr="00A25956">
        <w:rPr>
          <w:bCs/>
          <w:color w:val="auto"/>
          <w:sz w:val="22"/>
          <w:szCs w:val="22"/>
        </w:rPr>
        <w:t>sprawozdania z realizacji zadania najpóźniej w ciągu 14 dni od daty zakończenia wskazanego we wniosku.</w:t>
      </w:r>
      <w:r w:rsidRPr="00A25956">
        <w:rPr>
          <w:b/>
          <w:bCs/>
          <w:color w:val="auto"/>
          <w:sz w:val="22"/>
          <w:szCs w:val="22"/>
        </w:rPr>
        <w:t xml:space="preserve"> Okres realizacji działań w projekcie to maksymalnie 6 miesięcy.</w:t>
      </w:r>
      <w:r w:rsidRPr="00221705">
        <w:rPr>
          <w:b/>
          <w:bCs/>
          <w:color w:val="auto"/>
          <w:sz w:val="22"/>
          <w:szCs w:val="22"/>
        </w:rPr>
        <w:t xml:space="preserve"> </w:t>
      </w:r>
      <w:r w:rsidR="00A25956">
        <w:rPr>
          <w:b/>
          <w:bCs/>
          <w:color w:val="auto"/>
          <w:sz w:val="22"/>
          <w:szCs w:val="22"/>
        </w:rPr>
        <w:t>Istnieje możliwość wydłużenia realizacji projektu ze względu na sytuację pandemiczna na indywidualny wniosek wnioskodawcy.</w:t>
      </w:r>
    </w:p>
    <w:p w:rsidR="00A25956" w:rsidRDefault="00A25956" w:rsidP="00D5627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ZAŁĄCZNIKI</w:t>
      </w:r>
    </w:p>
    <w:p w:rsidR="00A25956" w:rsidRDefault="00A25956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A25956">
        <w:rPr>
          <w:bCs/>
          <w:color w:val="auto"/>
          <w:sz w:val="22"/>
          <w:szCs w:val="22"/>
        </w:rPr>
        <w:t>1.</w:t>
      </w:r>
      <w:r>
        <w:rPr>
          <w:bCs/>
          <w:color w:val="auto"/>
          <w:sz w:val="22"/>
          <w:szCs w:val="22"/>
        </w:rPr>
        <w:t xml:space="preserve"> </w:t>
      </w:r>
      <w:r w:rsidRPr="00A25956">
        <w:rPr>
          <w:bCs/>
          <w:color w:val="auto"/>
          <w:sz w:val="22"/>
          <w:szCs w:val="22"/>
        </w:rPr>
        <w:t>Status organizacji pozarządowej – tylko dla organizacji pozarządowych</w:t>
      </w:r>
    </w:p>
    <w:p w:rsidR="00A25956" w:rsidRDefault="00A25956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 Oświadczenie o kwalifikowalności VAT – tylko dla organizacji pozarządowych.</w:t>
      </w:r>
    </w:p>
    <w:p w:rsidR="00A25956" w:rsidRPr="00D5627B" w:rsidRDefault="00D5627B" w:rsidP="00D5627B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 </w:t>
      </w:r>
      <w:r w:rsidR="00A25956" w:rsidRPr="00A25956">
        <w:rPr>
          <w:bCs/>
          <w:color w:val="auto"/>
          <w:sz w:val="22"/>
          <w:szCs w:val="22"/>
        </w:rPr>
        <w:t xml:space="preserve">Definicje sektorów działalności gospodarczych wykluczonych z możliwości ubiegania się </w:t>
      </w:r>
      <w:r>
        <w:rPr>
          <w:bCs/>
          <w:color w:val="auto"/>
          <w:sz w:val="22"/>
          <w:szCs w:val="22"/>
        </w:rPr>
        <w:br/>
        <w:t xml:space="preserve">wsparcie </w:t>
      </w:r>
      <w:r w:rsidR="00A25956" w:rsidRPr="00A25956">
        <w:rPr>
          <w:bCs/>
          <w:color w:val="auto"/>
          <w:sz w:val="22"/>
          <w:szCs w:val="22"/>
        </w:rPr>
        <w:t>finansowe w ramach regionalnego programu operacyjnego na lata 20</w:t>
      </w:r>
      <w:r>
        <w:rPr>
          <w:bCs/>
          <w:color w:val="auto"/>
          <w:sz w:val="22"/>
          <w:szCs w:val="22"/>
        </w:rPr>
        <w:t xml:space="preserve">14-2020 udzielonego na zasadach </w:t>
      </w:r>
      <w:r w:rsidR="00A25956" w:rsidRPr="00A25956">
        <w:rPr>
          <w:bCs/>
          <w:color w:val="auto"/>
          <w:sz w:val="22"/>
          <w:szCs w:val="22"/>
        </w:rPr>
        <w:t>regionalnej pomocy inwestycyjnej w oparciu o rozporządzenie komis</w:t>
      </w:r>
      <w:r>
        <w:rPr>
          <w:bCs/>
          <w:color w:val="auto"/>
          <w:sz w:val="22"/>
          <w:szCs w:val="22"/>
        </w:rPr>
        <w:t xml:space="preserve">ji (UE) Nr 651/2014 r. Uznające </w:t>
      </w:r>
      <w:r w:rsidR="00A25956" w:rsidRPr="00A25956">
        <w:rPr>
          <w:bCs/>
          <w:color w:val="auto"/>
          <w:sz w:val="22"/>
          <w:szCs w:val="22"/>
        </w:rPr>
        <w:t>niektóre rodzaje pomocy za zgodne z rynkiem wewnętrznym w zast</w:t>
      </w:r>
      <w:r>
        <w:rPr>
          <w:bCs/>
          <w:color w:val="auto"/>
          <w:sz w:val="22"/>
          <w:szCs w:val="22"/>
        </w:rPr>
        <w:t xml:space="preserve">osowaniu art.107 i 108 Traktatu </w:t>
      </w:r>
      <w:r w:rsidR="00A25956" w:rsidRPr="00A25956">
        <w:rPr>
          <w:bCs/>
          <w:color w:val="auto"/>
          <w:sz w:val="22"/>
          <w:szCs w:val="22"/>
        </w:rPr>
        <w:t>oraz na zasadach pomocy de minimis w oparciu o rozporządzenie ko</w:t>
      </w:r>
      <w:r>
        <w:rPr>
          <w:bCs/>
          <w:color w:val="auto"/>
          <w:sz w:val="22"/>
          <w:szCs w:val="22"/>
        </w:rPr>
        <w:t xml:space="preserve">misji (UE) Nr. 1407/2013 z dnia </w:t>
      </w:r>
      <w:r w:rsidR="00A25956" w:rsidRPr="00A25956">
        <w:rPr>
          <w:bCs/>
          <w:color w:val="auto"/>
          <w:sz w:val="22"/>
          <w:szCs w:val="22"/>
        </w:rPr>
        <w:t>18 grudnia 2013 r. w sprawie stosowania art.107 i 108 Traktatu o f</w:t>
      </w:r>
      <w:r>
        <w:rPr>
          <w:bCs/>
          <w:color w:val="auto"/>
          <w:sz w:val="22"/>
          <w:szCs w:val="22"/>
        </w:rPr>
        <w:t xml:space="preserve">unkcjonowaniu Unii Europejskiej – </w:t>
      </w:r>
      <w:r w:rsidR="00A25956" w:rsidRPr="00A25956">
        <w:rPr>
          <w:bCs/>
          <w:color w:val="auto"/>
          <w:sz w:val="22"/>
          <w:szCs w:val="22"/>
        </w:rPr>
        <w:t>do wglądu dla wszystkich podmiotów ubiegających się o dofinansowanie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</w:t>
      </w:r>
      <w:r w:rsidR="0036140A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. POSTANOWIENIA KOŃCOWE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1. Operator zastrzega możliwość zmiany postanowień Regulaminu, bez podania przyczyny, a także zamknięcia Konkursu w dowolnym momencie bez rozstrzygnięcia. W takim przypadku Wnioskodawcom nie przysługują żadne roszczenia z tytułu przygotowania i złożenia wniosków. Sytuacja taka do</w:t>
      </w:r>
      <w:r w:rsidR="00BC1187">
        <w:rPr>
          <w:rFonts w:ascii="Times New Roman" w:hAnsi="Times New Roman" w:cs="Times New Roman"/>
          <w:color w:val="auto"/>
          <w:sz w:val="22"/>
          <w:szCs w:val="22"/>
        </w:rPr>
        <w:t xml:space="preserve">tyczyć może w szczególności np.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wystąpienia siły wyższej, klęsk żywiołowych itp., a także wypowiedzenia umowy Operatorowi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przez Instytucję Zarządzającą.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2. Ostateczna interpretacja zapisów Regulaminu leży w kompetencji Operatora. 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Default="003614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IX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. DODATKOWE INFORMACJE NA TEMAT KONKURSU</w:t>
      </w:r>
    </w:p>
    <w:p w:rsidR="009B4B41" w:rsidRPr="00614642" w:rsidRDefault="009B4B41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4B41">
        <w:rPr>
          <w:rFonts w:ascii="Times New Roman" w:hAnsi="Times New Roman" w:cs="Times New Roman"/>
          <w:color w:val="auto"/>
          <w:sz w:val="22"/>
          <w:szCs w:val="22"/>
        </w:rPr>
        <w:t xml:space="preserve">1. Ze względu </w:t>
      </w:r>
      <w:bookmarkStart w:id="0" w:name="_GoBack"/>
      <w:bookmarkEnd w:id="0"/>
      <w:r w:rsidRPr="009B4B41">
        <w:rPr>
          <w:rFonts w:ascii="Times New Roman" w:hAnsi="Times New Roman" w:cs="Times New Roman"/>
          <w:color w:val="auto"/>
          <w:sz w:val="22"/>
          <w:szCs w:val="22"/>
        </w:rPr>
        <w:t>pandemię Wnioskodawca może przedłużyć realizację projektu maksymalnie o 3 kolejne miesiące.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2A46" w:rsidRDefault="009B4B41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. Dodatkowych informacji na temat konkursu można uzyskać u</w:t>
      </w:r>
      <w:r w:rsidR="00A350FA">
        <w:rPr>
          <w:rFonts w:ascii="Times New Roman" w:hAnsi="Times New Roman" w:cs="Times New Roman"/>
          <w:color w:val="auto"/>
          <w:sz w:val="22"/>
          <w:szCs w:val="22"/>
        </w:rPr>
        <w:t xml:space="preserve"> Operatora – w Ośrodku Wsparcia Ekonomii Społecznej w Toruniu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poprzez umówienie się z wyprzedzeniem na spotkanie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informacyjne,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w for</w:t>
      </w:r>
      <w:r w:rsidR="00982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mie mailowej lub telefonicznej. </w:t>
      </w:r>
      <w:r w:rsidR="004A034B">
        <w:rPr>
          <w:rFonts w:ascii="Times New Roman" w:hAnsi="Times New Roman" w:cs="Times New Roman"/>
          <w:b/>
          <w:color w:val="auto"/>
          <w:sz w:val="22"/>
          <w:szCs w:val="22"/>
        </w:rPr>
        <w:t>Osoba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kontaktu:</w:t>
      </w:r>
    </w:p>
    <w:p w:rsidR="00812D25" w:rsidRDefault="007151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06694C">
        <w:rPr>
          <w:rFonts w:ascii="Times New Roman" w:hAnsi="Times New Roman" w:cs="Times New Roman"/>
          <w:b/>
          <w:color w:val="auto"/>
          <w:sz w:val="22"/>
          <w:szCs w:val="22"/>
        </w:rPr>
        <w:t>Kamila Karolewska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</w:t>
      </w:r>
      <w:r w:rsidR="00382DA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tel. 56 652 22 40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, e-mail: k.karolewska@ekonomia-spoleczna.com.pl</w:t>
      </w:r>
    </w:p>
    <w:p w:rsidR="002200F0" w:rsidRPr="00614642" w:rsidRDefault="002200F0"/>
    <w:sectPr w:rsidR="002200F0" w:rsidRPr="00614642" w:rsidSect="00671C35">
      <w:headerReference w:type="default" r:id="rId8"/>
      <w:footerReference w:type="default" r:id="rId9"/>
      <w:pgSz w:w="11906" w:h="16838"/>
      <w:pgMar w:top="107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A6" w:rsidRDefault="002F3AA6">
      <w:pPr>
        <w:spacing w:after="0" w:line="240" w:lineRule="auto"/>
      </w:pPr>
      <w:r>
        <w:separator/>
      </w:r>
    </w:p>
  </w:endnote>
  <w:endnote w:type="continuationSeparator" w:id="0">
    <w:p w:rsidR="002F3AA6" w:rsidRDefault="002F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 w:rsidP="00ED2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4B41">
      <w:rPr>
        <w:noProof/>
      </w:rPr>
      <w:t>8</w:t>
    </w:r>
    <w:r>
      <w:fldChar w:fldCharType="end"/>
    </w:r>
  </w:p>
  <w:p w:rsidR="00ED2286" w:rsidRDefault="00ED2286" w:rsidP="00ED228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7C9CFD4" wp14:editId="4436EC9B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A6" w:rsidRDefault="002F3AA6">
      <w:pPr>
        <w:spacing w:after="0" w:line="240" w:lineRule="auto"/>
      </w:pPr>
      <w:r>
        <w:separator/>
      </w:r>
    </w:p>
  </w:footnote>
  <w:footnote w:type="continuationSeparator" w:id="0">
    <w:p w:rsidR="002F3AA6" w:rsidRDefault="002F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>
    <w:pPr>
      <w:pStyle w:val="Nagwek"/>
    </w:pPr>
    <w:r>
      <w:rPr>
        <w:noProof/>
        <w:lang w:val="pl-PL" w:eastAsia="pl-PL"/>
      </w:rPr>
      <w:drawing>
        <wp:inline distT="0" distB="0" distL="0" distR="0" wp14:anchorId="568881CD" wp14:editId="4DE86725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AE6D93"/>
    <w:multiLevelType w:val="multilevel"/>
    <w:tmpl w:val="BCB2B1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Symbol"/>
      </w:rPr>
    </w:lvl>
  </w:abstractNum>
  <w:abstractNum w:abstractNumId="2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3" w15:restartNumberingAfterBreak="0">
    <w:nsid w:val="23203FC9"/>
    <w:multiLevelType w:val="hybridMultilevel"/>
    <w:tmpl w:val="453C8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DF6"/>
    <w:multiLevelType w:val="hybridMultilevel"/>
    <w:tmpl w:val="2270890A"/>
    <w:lvl w:ilvl="0" w:tplc="F84616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0963716"/>
    <w:multiLevelType w:val="hybridMultilevel"/>
    <w:tmpl w:val="4ED223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1147"/>
    <w:multiLevelType w:val="hybridMultilevel"/>
    <w:tmpl w:val="CB4A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8C51B53"/>
    <w:multiLevelType w:val="hybridMultilevel"/>
    <w:tmpl w:val="D06C5B46"/>
    <w:lvl w:ilvl="0" w:tplc="6B9466F8">
      <w:start w:val="1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5173EBE"/>
    <w:multiLevelType w:val="hybridMultilevel"/>
    <w:tmpl w:val="8294D4A4"/>
    <w:lvl w:ilvl="0" w:tplc="BDCA8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8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20"/>
  </w:num>
  <w:num w:numId="12">
    <w:abstractNumId w:val="17"/>
  </w:num>
  <w:num w:numId="13">
    <w:abstractNumId w:val="0"/>
  </w:num>
  <w:num w:numId="14">
    <w:abstractNumId w:val="2"/>
  </w:num>
  <w:num w:numId="15">
    <w:abstractNumId w:val="23"/>
  </w:num>
  <w:num w:numId="16">
    <w:abstractNumId w:val="15"/>
  </w:num>
  <w:num w:numId="17">
    <w:abstractNumId w:val="24"/>
  </w:num>
  <w:num w:numId="18">
    <w:abstractNumId w:val="21"/>
  </w:num>
  <w:num w:numId="19">
    <w:abstractNumId w:val="25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3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B"/>
    <w:rsid w:val="000162DC"/>
    <w:rsid w:val="0006694C"/>
    <w:rsid w:val="000778CE"/>
    <w:rsid w:val="000975EC"/>
    <w:rsid w:val="000E46B8"/>
    <w:rsid w:val="000F1BAB"/>
    <w:rsid w:val="001039DB"/>
    <w:rsid w:val="001625C0"/>
    <w:rsid w:val="001815BD"/>
    <w:rsid w:val="00183AA6"/>
    <w:rsid w:val="002200F0"/>
    <w:rsid w:val="00221705"/>
    <w:rsid w:val="002A2A3C"/>
    <w:rsid w:val="002B3488"/>
    <w:rsid w:val="002F0533"/>
    <w:rsid w:val="002F3AA6"/>
    <w:rsid w:val="0032056A"/>
    <w:rsid w:val="00342022"/>
    <w:rsid w:val="0036140A"/>
    <w:rsid w:val="00362D68"/>
    <w:rsid w:val="00367751"/>
    <w:rsid w:val="00382DA1"/>
    <w:rsid w:val="00391506"/>
    <w:rsid w:val="003C73F1"/>
    <w:rsid w:val="003E2DAE"/>
    <w:rsid w:val="00431DD5"/>
    <w:rsid w:val="00465648"/>
    <w:rsid w:val="00473F19"/>
    <w:rsid w:val="00497B8E"/>
    <w:rsid w:val="004A034B"/>
    <w:rsid w:val="004C2DD5"/>
    <w:rsid w:val="004E3CCA"/>
    <w:rsid w:val="004E6142"/>
    <w:rsid w:val="00510409"/>
    <w:rsid w:val="005314D4"/>
    <w:rsid w:val="005A7887"/>
    <w:rsid w:val="005C41BD"/>
    <w:rsid w:val="005E511A"/>
    <w:rsid w:val="005E77C2"/>
    <w:rsid w:val="00614642"/>
    <w:rsid w:val="006514CC"/>
    <w:rsid w:val="00671C35"/>
    <w:rsid w:val="00696DC1"/>
    <w:rsid w:val="00696E08"/>
    <w:rsid w:val="006F5400"/>
    <w:rsid w:val="006F6512"/>
    <w:rsid w:val="0071510A"/>
    <w:rsid w:val="00727622"/>
    <w:rsid w:val="007D759F"/>
    <w:rsid w:val="007F5962"/>
    <w:rsid w:val="00812D25"/>
    <w:rsid w:val="00830974"/>
    <w:rsid w:val="0087489C"/>
    <w:rsid w:val="008A7F7B"/>
    <w:rsid w:val="008B6238"/>
    <w:rsid w:val="00916850"/>
    <w:rsid w:val="00926166"/>
    <w:rsid w:val="00942515"/>
    <w:rsid w:val="00982A46"/>
    <w:rsid w:val="009B4B41"/>
    <w:rsid w:val="00A20914"/>
    <w:rsid w:val="00A25956"/>
    <w:rsid w:val="00A32E08"/>
    <w:rsid w:val="00A350FA"/>
    <w:rsid w:val="00A42C2A"/>
    <w:rsid w:val="00A60385"/>
    <w:rsid w:val="00A60A1C"/>
    <w:rsid w:val="00A73CB7"/>
    <w:rsid w:val="00AE2845"/>
    <w:rsid w:val="00B07CAB"/>
    <w:rsid w:val="00B11FDD"/>
    <w:rsid w:val="00B3373C"/>
    <w:rsid w:val="00B756FE"/>
    <w:rsid w:val="00B82026"/>
    <w:rsid w:val="00BA0EF6"/>
    <w:rsid w:val="00BC1187"/>
    <w:rsid w:val="00BF4A17"/>
    <w:rsid w:val="00BF5768"/>
    <w:rsid w:val="00BF7FA4"/>
    <w:rsid w:val="00C00504"/>
    <w:rsid w:val="00C066E7"/>
    <w:rsid w:val="00C07179"/>
    <w:rsid w:val="00C17E36"/>
    <w:rsid w:val="00C200B2"/>
    <w:rsid w:val="00C35AA2"/>
    <w:rsid w:val="00C45E64"/>
    <w:rsid w:val="00C8454F"/>
    <w:rsid w:val="00C87B5F"/>
    <w:rsid w:val="00C978B9"/>
    <w:rsid w:val="00CD6268"/>
    <w:rsid w:val="00D0360B"/>
    <w:rsid w:val="00D168A2"/>
    <w:rsid w:val="00D42B97"/>
    <w:rsid w:val="00D534FA"/>
    <w:rsid w:val="00D5627B"/>
    <w:rsid w:val="00D56CC1"/>
    <w:rsid w:val="00D92763"/>
    <w:rsid w:val="00DA1EB4"/>
    <w:rsid w:val="00DC0DAC"/>
    <w:rsid w:val="00DC2F1F"/>
    <w:rsid w:val="00E104D5"/>
    <w:rsid w:val="00E312CF"/>
    <w:rsid w:val="00E35371"/>
    <w:rsid w:val="00E45D7E"/>
    <w:rsid w:val="00E77AFF"/>
    <w:rsid w:val="00ED038E"/>
    <w:rsid w:val="00ED2286"/>
    <w:rsid w:val="00ED54D9"/>
    <w:rsid w:val="00F4127A"/>
    <w:rsid w:val="00F65F0B"/>
    <w:rsid w:val="00F9051C"/>
    <w:rsid w:val="00F94AB9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5A59"/>
  <w15:docId w15:val="{31421599-E43F-4712-9C61-A06C1ED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1464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14642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6146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61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4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9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38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qFormat/>
    <w:rsid w:val="0039150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qFormat/>
    <w:rsid w:val="00391506"/>
    <w:pPr>
      <w:spacing w:after="120" w:line="480" w:lineRule="auto"/>
    </w:pPr>
    <w:rPr>
      <w:rFonts w:ascii="Times New Roman" w:eastAsia="Times New Roman" w:hAnsi="Times New Roman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915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onomia-spoleczn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</Pages>
  <Words>2859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K.</dc:creator>
  <cp:lastModifiedBy>Użytkownik systemu Windows</cp:lastModifiedBy>
  <cp:revision>45</cp:revision>
  <cp:lastPrinted>2020-04-10T14:21:00Z</cp:lastPrinted>
  <dcterms:created xsi:type="dcterms:W3CDTF">2020-04-10T14:04:00Z</dcterms:created>
  <dcterms:modified xsi:type="dcterms:W3CDTF">2021-11-03T13:51:00Z</dcterms:modified>
</cp:coreProperties>
</file>